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7C61AA" w14:textId="42779682" w:rsidR="00174C43" w:rsidRDefault="00174C43" w:rsidP="00174C43">
      <w:pPr>
        <w:pStyle w:val="3GPPHeader"/>
        <w:spacing w:after="0"/>
        <w:rPr>
          <w:rFonts w:asciiTheme="minorHAnsi" w:hAnsiTheme="minorHAnsi"/>
          <w:highlight w:val="yellow"/>
          <w:lang w:val="en-US" w:eastAsia="en-US"/>
        </w:rPr>
      </w:pPr>
      <w:r>
        <w:rPr>
          <w:noProof/>
          <w:lang w:val="en-US"/>
        </w:rPr>
        <w:t>3GPP</w:t>
      </w:r>
      <w:r>
        <w:rPr>
          <w:lang w:val="en-US"/>
        </w:rPr>
        <w:t xml:space="preserve"> TSG RAN WG1 Meeting AH 1801</w:t>
      </w:r>
      <w:r>
        <w:rPr>
          <w:lang w:val="en-US"/>
        </w:rPr>
        <w:tab/>
      </w:r>
      <w:r w:rsidRPr="00C302DC">
        <w:rPr>
          <w:lang w:val="en-US"/>
        </w:rPr>
        <w:t>R1-18</w:t>
      </w:r>
      <w:r w:rsidR="00C302DC" w:rsidRPr="00C302DC">
        <w:rPr>
          <w:lang w:val="en-US"/>
        </w:rPr>
        <w:t>00974</w:t>
      </w:r>
    </w:p>
    <w:p w14:paraId="05BBADD3" w14:textId="77777777" w:rsidR="00174C43" w:rsidRDefault="00174C43" w:rsidP="00174C43">
      <w:pPr>
        <w:pStyle w:val="3GPPHeader"/>
        <w:spacing w:after="0"/>
        <w:rPr>
          <w:sz w:val="22"/>
          <w:lang w:val="en-US"/>
        </w:rPr>
      </w:pPr>
      <w:r>
        <w:rPr>
          <w:sz w:val="22"/>
          <w:lang w:val="en-US"/>
        </w:rPr>
        <w:t>Vancouver, Canada, 22nd Jan- 26th Jan 2018</w:t>
      </w:r>
    </w:p>
    <w:p w14:paraId="76207654" w14:textId="77777777" w:rsidR="00174C43" w:rsidRDefault="00174C43" w:rsidP="00A35A76">
      <w:pPr>
        <w:pStyle w:val="3GPPHeader"/>
        <w:rPr>
          <w:sz w:val="22"/>
          <w:szCs w:val="22"/>
          <w:lang w:val="en-US"/>
        </w:rPr>
      </w:pPr>
    </w:p>
    <w:p w14:paraId="5B1B9060" w14:textId="10A205F0" w:rsidR="00A35A76" w:rsidRPr="007B78FE" w:rsidRDefault="00A35A76" w:rsidP="00A35A76">
      <w:pPr>
        <w:pStyle w:val="3GPPHeader"/>
        <w:rPr>
          <w:sz w:val="22"/>
          <w:szCs w:val="22"/>
          <w:lang w:val="en-US"/>
        </w:rPr>
      </w:pPr>
      <w:r w:rsidRPr="007B78FE">
        <w:rPr>
          <w:sz w:val="22"/>
          <w:szCs w:val="22"/>
          <w:lang w:val="en-US"/>
        </w:rPr>
        <w:t>Agenda Item:</w:t>
      </w:r>
      <w:r w:rsidRPr="007B78FE">
        <w:rPr>
          <w:sz w:val="22"/>
          <w:szCs w:val="22"/>
          <w:lang w:val="en-US"/>
        </w:rPr>
        <w:tab/>
      </w:r>
      <w:r w:rsidR="00C302DC">
        <w:rPr>
          <w:sz w:val="22"/>
          <w:szCs w:val="22"/>
          <w:lang w:val="en-US"/>
        </w:rPr>
        <w:t>7.9</w:t>
      </w:r>
    </w:p>
    <w:p w14:paraId="684B06A7" w14:textId="77777777" w:rsidR="00E90E49" w:rsidRPr="007B78FE" w:rsidRDefault="003D3C45" w:rsidP="00F64C2B">
      <w:pPr>
        <w:pStyle w:val="3GPPHeader"/>
        <w:rPr>
          <w:sz w:val="22"/>
          <w:szCs w:val="22"/>
          <w:lang w:val="en-US"/>
        </w:rPr>
      </w:pPr>
      <w:r w:rsidRPr="007B78FE">
        <w:rPr>
          <w:sz w:val="22"/>
          <w:szCs w:val="22"/>
          <w:lang w:val="en-US"/>
        </w:rPr>
        <w:t>Source:</w:t>
      </w:r>
      <w:r w:rsidR="00E90E49" w:rsidRPr="007B78FE">
        <w:rPr>
          <w:sz w:val="22"/>
          <w:szCs w:val="22"/>
          <w:lang w:val="en-US"/>
        </w:rPr>
        <w:tab/>
      </w:r>
      <w:r w:rsidR="00F64C2B" w:rsidRPr="007B78FE">
        <w:rPr>
          <w:sz w:val="22"/>
          <w:szCs w:val="22"/>
          <w:lang w:val="en-US"/>
        </w:rPr>
        <w:t>Ericsson</w:t>
      </w:r>
    </w:p>
    <w:p w14:paraId="39D1628B" w14:textId="329185B2" w:rsidR="003707D2" w:rsidRDefault="003D3C45" w:rsidP="003707D2">
      <w:pPr>
        <w:pStyle w:val="3GPPHeader"/>
        <w:ind w:left="1701" w:hanging="1701"/>
        <w:rPr>
          <w:sz w:val="22"/>
          <w:szCs w:val="22"/>
          <w:lang w:val="en-US"/>
        </w:rPr>
      </w:pPr>
      <w:r w:rsidRPr="007B78FE">
        <w:rPr>
          <w:sz w:val="22"/>
          <w:szCs w:val="22"/>
          <w:lang w:val="en-US"/>
        </w:rPr>
        <w:t>Title:</w:t>
      </w:r>
      <w:r w:rsidR="006B5B0F" w:rsidRPr="007B78FE">
        <w:rPr>
          <w:sz w:val="22"/>
          <w:szCs w:val="22"/>
          <w:lang w:val="en-US"/>
        </w:rPr>
        <w:tab/>
      </w:r>
      <w:r w:rsidR="003707D2">
        <w:rPr>
          <w:sz w:val="22"/>
          <w:szCs w:val="22"/>
          <w:lang w:val="en-US"/>
        </w:rPr>
        <w:t xml:space="preserve">On </w:t>
      </w:r>
      <w:r w:rsidR="00AF4BAC">
        <w:rPr>
          <w:sz w:val="22"/>
          <w:szCs w:val="22"/>
          <w:lang w:val="en-US"/>
        </w:rPr>
        <w:t xml:space="preserve">Pre-emption </w:t>
      </w:r>
      <w:r w:rsidR="006521E1">
        <w:rPr>
          <w:sz w:val="22"/>
          <w:szCs w:val="22"/>
          <w:lang w:val="en-US"/>
        </w:rPr>
        <w:t>in</w:t>
      </w:r>
      <w:r w:rsidR="003707D2" w:rsidRPr="003707D2">
        <w:rPr>
          <w:sz w:val="22"/>
          <w:szCs w:val="22"/>
          <w:lang w:val="en-US"/>
        </w:rPr>
        <w:t xml:space="preserve"> </w:t>
      </w:r>
      <w:r w:rsidR="00AF4BAC">
        <w:rPr>
          <w:sz w:val="22"/>
          <w:szCs w:val="22"/>
          <w:lang w:val="en-US"/>
        </w:rPr>
        <w:t>U</w:t>
      </w:r>
      <w:r w:rsidR="00C9762F">
        <w:rPr>
          <w:sz w:val="22"/>
          <w:szCs w:val="22"/>
          <w:lang w:val="en-US"/>
        </w:rPr>
        <w:t>plink</w:t>
      </w:r>
    </w:p>
    <w:p w14:paraId="59D6E79C" w14:textId="1BCA695A" w:rsidR="00E90E49" w:rsidRPr="007B78FE" w:rsidRDefault="00E90E49" w:rsidP="003707D2">
      <w:pPr>
        <w:pStyle w:val="3GPPHeader"/>
        <w:ind w:left="1701" w:hanging="1701"/>
        <w:rPr>
          <w:sz w:val="22"/>
          <w:szCs w:val="22"/>
          <w:lang w:val="en-US"/>
        </w:rPr>
      </w:pPr>
      <w:r w:rsidRPr="007B78FE">
        <w:rPr>
          <w:sz w:val="22"/>
          <w:szCs w:val="22"/>
          <w:lang w:val="en-US"/>
        </w:rPr>
        <w:t>Document for:</w:t>
      </w:r>
      <w:r w:rsidRPr="007B78FE">
        <w:rPr>
          <w:sz w:val="22"/>
          <w:szCs w:val="22"/>
          <w:lang w:val="en-US"/>
        </w:rPr>
        <w:tab/>
      </w:r>
      <w:r w:rsidR="00674D9A">
        <w:rPr>
          <w:sz w:val="22"/>
          <w:szCs w:val="22"/>
          <w:lang w:val="en-US"/>
        </w:rPr>
        <w:t>Information</w:t>
      </w:r>
      <w:bookmarkStart w:id="0" w:name="_GoBack"/>
      <w:bookmarkEnd w:id="0"/>
    </w:p>
    <w:p w14:paraId="23ADEC77" w14:textId="77777777" w:rsidR="0035746C" w:rsidRDefault="0035746C" w:rsidP="0035746C">
      <w:pPr>
        <w:pStyle w:val="Heading1"/>
      </w:pPr>
      <w:r w:rsidRPr="00CE0424">
        <w:t>Introduction</w:t>
      </w:r>
    </w:p>
    <w:p w14:paraId="625559FC" w14:textId="77777777" w:rsidR="0035746C" w:rsidRDefault="0035746C" w:rsidP="0035746C">
      <w:r>
        <w:t>NR should support different types of services having different latency requirements and/ priorities (e.g. URLLC and eMBB services). This is achieved by supporting different transmission durations, i.e., mini-slot or slot transmission. Multiplexing of data with different priorities can have two possibilities which are described below:</w:t>
      </w:r>
    </w:p>
    <w:p w14:paraId="7F6A00B2" w14:textId="77777777" w:rsidR="0035746C" w:rsidRPr="00500795" w:rsidRDefault="0035746C" w:rsidP="0035746C">
      <w:pPr>
        <w:pStyle w:val="ListParagraph"/>
        <w:numPr>
          <w:ilvl w:val="0"/>
          <w:numId w:val="49"/>
        </w:numPr>
        <w:jc w:val="both"/>
        <w:rPr>
          <w:rFonts w:ascii="Arial" w:eastAsia="Times New Roman" w:hAnsi="Arial"/>
          <w:sz w:val="20"/>
          <w:szCs w:val="20"/>
          <w:lang w:val="en-GB" w:eastAsia="zh-CN"/>
        </w:rPr>
      </w:pPr>
      <w:r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Semi-static multiplexing of </w:t>
      </w:r>
      <w:r>
        <w:rPr>
          <w:rFonts w:ascii="Arial" w:eastAsia="Times New Roman" w:hAnsi="Arial"/>
          <w:sz w:val="20"/>
          <w:szCs w:val="20"/>
          <w:lang w:val="en-GB" w:eastAsia="zh-CN"/>
        </w:rPr>
        <w:t>different transmission durations</w:t>
      </w:r>
      <w:r w:rsidRPr="007C36D7">
        <w:rPr>
          <w:rFonts w:ascii="Arial" w:eastAsia="Times New Roman" w:hAnsi="Arial"/>
          <w:sz w:val="20"/>
          <w:szCs w:val="20"/>
          <w:lang w:val="en-GB" w:eastAsia="zh-CN"/>
        </w:rPr>
        <w:t>:</w:t>
      </w:r>
      <w:r>
        <w:rPr>
          <w:rFonts w:ascii="Arial" w:eastAsia="Times New Roman" w:hAnsi="Arial"/>
          <w:sz w:val="20"/>
          <w:szCs w:val="20"/>
          <w:lang w:val="en-GB" w:eastAsia="zh-CN"/>
        </w:rPr>
        <w:t xml:space="preserve"> </w:t>
      </w:r>
      <w:r w:rsidRPr="007C36D7">
        <w:rPr>
          <w:rFonts w:ascii="Arial" w:eastAsia="Times New Roman" w:hAnsi="Arial"/>
          <w:sz w:val="20"/>
          <w:szCs w:val="20"/>
          <w:lang w:val="en-GB" w:eastAsia="zh-CN"/>
        </w:rPr>
        <w:t>In this mode of operation</w:t>
      </w:r>
      <w:r>
        <w:rPr>
          <w:rFonts w:ascii="Arial" w:eastAsia="Times New Roman" w:hAnsi="Arial"/>
          <w:sz w:val="20"/>
          <w:szCs w:val="20"/>
          <w:lang w:val="en-GB" w:eastAsia="zh-CN"/>
        </w:rPr>
        <w:t xml:space="preserve"> different transmission durations</w:t>
      </w:r>
      <w:r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 operate on different frequency</w:t>
      </w:r>
      <w:r>
        <w:rPr>
          <w:rFonts w:ascii="Arial" w:eastAsia="Times New Roman" w:hAnsi="Arial"/>
          <w:sz w:val="20"/>
          <w:szCs w:val="20"/>
          <w:lang w:val="en-GB" w:eastAsia="zh-CN"/>
        </w:rPr>
        <w:t xml:space="preserve"> allocations</w:t>
      </w:r>
      <w:r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. </w:t>
      </w:r>
      <w:r>
        <w:rPr>
          <w:rFonts w:ascii="Arial" w:eastAsia="Times New Roman" w:hAnsi="Arial"/>
          <w:sz w:val="20"/>
          <w:szCs w:val="20"/>
          <w:lang w:val="en-GB" w:eastAsia="zh-CN"/>
        </w:rPr>
        <w:t xml:space="preserve">The data with different latency requirements can then be transmitted </w:t>
      </w:r>
      <w:r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on different time scales such as on slot level </w:t>
      </w:r>
      <w:r>
        <w:rPr>
          <w:rFonts w:ascii="Arial" w:eastAsia="Times New Roman" w:hAnsi="Arial"/>
          <w:sz w:val="20"/>
          <w:szCs w:val="20"/>
          <w:lang w:val="en-GB" w:eastAsia="zh-CN"/>
        </w:rPr>
        <w:t>or</w:t>
      </w:r>
      <w:r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 mini-slot level. The </w:t>
      </w:r>
      <w:r>
        <w:rPr>
          <w:rFonts w:ascii="Arial" w:eastAsia="Times New Roman" w:hAnsi="Arial"/>
          <w:sz w:val="20"/>
          <w:szCs w:val="20"/>
          <w:lang w:val="en-GB" w:eastAsia="zh-CN"/>
        </w:rPr>
        <w:t xml:space="preserve">data with different priorities may also be transmitted on the same time scale, i.e., </w:t>
      </w:r>
      <w:r w:rsidRPr="007C36D7">
        <w:rPr>
          <w:rFonts w:ascii="Arial" w:eastAsia="Times New Roman" w:hAnsi="Arial"/>
          <w:sz w:val="20"/>
          <w:szCs w:val="20"/>
          <w:lang w:val="en-GB" w:eastAsia="zh-CN"/>
        </w:rPr>
        <w:t>with mini-slots or with slots. Furthermore, the dedicated bands can be semi-statically configured and does not need any special considerations</w:t>
      </w:r>
      <w:r>
        <w:rPr>
          <w:rFonts w:ascii="Arial" w:eastAsia="Times New Roman" w:hAnsi="Arial"/>
          <w:sz w:val="20"/>
          <w:szCs w:val="20"/>
          <w:lang w:val="en-GB" w:eastAsia="zh-CN"/>
        </w:rPr>
        <w:t xml:space="preserve"> from RAN1 perspective</w:t>
      </w:r>
      <w:r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. However, </w:t>
      </w:r>
      <w:r>
        <w:rPr>
          <w:rFonts w:ascii="Arial" w:eastAsia="Times New Roman" w:hAnsi="Arial"/>
          <w:sz w:val="20"/>
          <w:szCs w:val="20"/>
          <w:lang w:val="en-GB" w:eastAsia="zh-CN"/>
        </w:rPr>
        <w:t xml:space="preserve">in case of </w:t>
      </w:r>
      <w:r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sporadic </w:t>
      </w:r>
      <w:r>
        <w:rPr>
          <w:rFonts w:ascii="Arial" w:eastAsia="Times New Roman" w:hAnsi="Arial"/>
          <w:sz w:val="20"/>
          <w:szCs w:val="20"/>
          <w:lang w:val="en-GB" w:eastAsia="zh-CN"/>
        </w:rPr>
        <w:t xml:space="preserve">high priority </w:t>
      </w:r>
      <w:r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traffic, this option is not very resource efficient and lead to low spectral efficiency.  </w:t>
      </w:r>
    </w:p>
    <w:p w14:paraId="20A998F0" w14:textId="77777777" w:rsidR="0035746C" w:rsidRPr="007C36D7" w:rsidRDefault="0035746C" w:rsidP="0035746C">
      <w:pPr>
        <w:pStyle w:val="ListParagraph"/>
        <w:jc w:val="both"/>
        <w:rPr>
          <w:rFonts w:ascii="Arial" w:eastAsia="Times New Roman" w:hAnsi="Arial"/>
          <w:sz w:val="20"/>
          <w:szCs w:val="20"/>
          <w:lang w:val="en-GB" w:eastAsia="zh-CN"/>
        </w:rPr>
      </w:pPr>
    </w:p>
    <w:p w14:paraId="255CF4CC" w14:textId="2ACEB1E6" w:rsidR="0035746C" w:rsidRPr="007C36D7" w:rsidRDefault="0035746C" w:rsidP="0035746C">
      <w:pPr>
        <w:pStyle w:val="ListParagraph"/>
        <w:numPr>
          <w:ilvl w:val="0"/>
          <w:numId w:val="49"/>
        </w:numPr>
        <w:jc w:val="both"/>
        <w:rPr>
          <w:rFonts w:ascii="Arial" w:eastAsia="Times New Roman" w:hAnsi="Arial"/>
          <w:sz w:val="20"/>
          <w:szCs w:val="20"/>
          <w:lang w:val="en-GB" w:eastAsia="zh-CN"/>
        </w:rPr>
      </w:pPr>
      <w:r w:rsidRPr="007C36D7">
        <w:rPr>
          <w:rFonts w:ascii="Arial" w:eastAsia="Times New Roman" w:hAnsi="Arial"/>
          <w:sz w:val="20"/>
          <w:szCs w:val="20"/>
          <w:lang w:val="en-GB" w:eastAsia="zh-CN"/>
        </w:rPr>
        <w:t>Dynamic multiplexing o</w:t>
      </w:r>
      <w:r>
        <w:rPr>
          <w:rFonts w:ascii="Arial" w:eastAsia="Times New Roman" w:hAnsi="Arial"/>
          <w:sz w:val="20"/>
          <w:szCs w:val="20"/>
          <w:lang w:val="en-GB" w:eastAsia="zh-CN"/>
        </w:rPr>
        <w:t>f</w:t>
      </w:r>
      <w:r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 </w:t>
      </w:r>
      <w:r>
        <w:rPr>
          <w:rFonts w:ascii="Arial" w:eastAsia="Times New Roman" w:hAnsi="Arial"/>
          <w:sz w:val="20"/>
          <w:szCs w:val="20"/>
          <w:lang w:val="en-GB" w:eastAsia="zh-CN"/>
        </w:rPr>
        <w:t>different transmission durations</w:t>
      </w:r>
      <w:r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: The </w:t>
      </w:r>
      <w:r>
        <w:rPr>
          <w:rFonts w:ascii="Arial" w:eastAsia="Times New Roman" w:hAnsi="Arial"/>
          <w:sz w:val="20"/>
          <w:szCs w:val="20"/>
          <w:lang w:val="en-GB" w:eastAsia="zh-CN"/>
        </w:rPr>
        <w:t>second</w:t>
      </w:r>
      <w:r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 scenario is to allow dynamic multiplexing of </w:t>
      </w:r>
      <w:r>
        <w:rPr>
          <w:rFonts w:ascii="Arial" w:eastAsia="Times New Roman" w:hAnsi="Arial"/>
          <w:sz w:val="20"/>
          <w:szCs w:val="20"/>
          <w:lang w:val="en-GB" w:eastAsia="zh-CN"/>
        </w:rPr>
        <w:t>different transmission durations within the same time and/or frequency resources</w:t>
      </w:r>
      <w:r w:rsidRPr="007C36D7">
        <w:rPr>
          <w:rFonts w:ascii="Arial" w:eastAsia="Times New Roman" w:hAnsi="Arial"/>
          <w:sz w:val="20"/>
          <w:szCs w:val="20"/>
          <w:lang w:val="en-GB" w:eastAsia="zh-CN"/>
        </w:rPr>
        <w:t>.</w:t>
      </w:r>
      <w:r>
        <w:rPr>
          <w:rFonts w:ascii="Arial" w:eastAsia="Times New Roman" w:hAnsi="Arial"/>
          <w:sz w:val="20"/>
          <w:szCs w:val="20"/>
          <w:lang w:val="en-GB" w:eastAsia="zh-CN"/>
        </w:rPr>
        <w:t xml:space="preserve"> This can be implemented in the </w:t>
      </w:r>
      <w:r w:rsidR="00E4419E">
        <w:rPr>
          <w:rFonts w:ascii="Arial" w:eastAsia="Times New Roman" w:hAnsi="Arial"/>
          <w:sz w:val="20"/>
          <w:szCs w:val="20"/>
          <w:lang w:val="en-GB" w:eastAsia="zh-CN"/>
        </w:rPr>
        <w:t>so-called</w:t>
      </w:r>
      <w:r>
        <w:rPr>
          <w:rFonts w:ascii="Arial" w:eastAsia="Times New Roman" w:hAnsi="Arial"/>
          <w:sz w:val="20"/>
          <w:szCs w:val="20"/>
          <w:lang w:val="en-GB" w:eastAsia="zh-CN"/>
        </w:rPr>
        <w:t xml:space="preserve"> co-existence region or over the entire time-frequency grid.</w:t>
      </w:r>
      <w:r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 The advantage associated to </w:t>
      </w:r>
      <w:r>
        <w:rPr>
          <w:rFonts w:ascii="Arial" w:eastAsia="Times New Roman" w:hAnsi="Arial"/>
          <w:sz w:val="20"/>
          <w:szCs w:val="20"/>
          <w:lang w:val="en-GB" w:eastAsia="zh-CN"/>
        </w:rPr>
        <w:t>dynamic multiplexing</w:t>
      </w:r>
      <w:r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 is better resource sharing and utilization among </w:t>
      </w:r>
      <w:r>
        <w:rPr>
          <w:rFonts w:ascii="Arial" w:eastAsia="Times New Roman" w:hAnsi="Arial"/>
          <w:sz w:val="20"/>
          <w:szCs w:val="20"/>
          <w:lang w:val="en-GB" w:eastAsia="zh-CN"/>
        </w:rPr>
        <w:t>data traffic with different latency requirements and/or priorities</w:t>
      </w:r>
      <w:r w:rsidRPr="007C36D7">
        <w:rPr>
          <w:rFonts w:ascii="Arial" w:eastAsia="Times New Roman" w:hAnsi="Arial"/>
          <w:sz w:val="20"/>
          <w:szCs w:val="20"/>
          <w:lang w:val="en-GB" w:eastAsia="zh-CN"/>
        </w:rPr>
        <w:t xml:space="preserve">. However, it requires special </w:t>
      </w:r>
      <w:r>
        <w:rPr>
          <w:rFonts w:ascii="Arial" w:eastAsia="Times New Roman" w:hAnsi="Arial"/>
          <w:sz w:val="20"/>
          <w:szCs w:val="20"/>
          <w:lang w:val="en-GB" w:eastAsia="zh-CN"/>
        </w:rPr>
        <w:t xml:space="preserve">RAN1 </w:t>
      </w:r>
      <w:r w:rsidRPr="007C36D7">
        <w:rPr>
          <w:rFonts w:ascii="Arial" w:eastAsia="Times New Roman" w:hAnsi="Arial"/>
          <w:sz w:val="20"/>
          <w:szCs w:val="20"/>
          <w:lang w:val="en-GB" w:eastAsia="zh-CN"/>
        </w:rPr>
        <w:t>considerations to allow an on-going transmission of slot length to be punctured by a shorter mini-slot transmission. It would further need some assumptions on what traffic is the most important traffic from the UE side.</w:t>
      </w:r>
    </w:p>
    <w:p w14:paraId="7A280621" w14:textId="77777777" w:rsidR="0035746C" w:rsidRDefault="0035746C" w:rsidP="0035746C">
      <w:pPr>
        <w:spacing w:before="120"/>
      </w:pPr>
      <w:r>
        <w:t xml:space="preserve">In case (2), prioritization of the mini-slot based transmission over slot-based transmission may lead to the need of puncturing the on-going slot transmissions with mini-slot. Puncturing in DL is relatively straight-forward and the solutions are discussed in </w:t>
      </w:r>
      <w:r w:rsidRPr="00D13BC5">
        <w:t>[1].</w:t>
      </w:r>
      <w:r>
        <w:t xml:space="preserve"> For the puncturing in UL, we can further separate between two clear cases: (1) mini-slot data from UE1 punctures slot data from UE1 (intra-UE puncturing) and, (2) mini-slot data from UE1 punctures slot data from UE2 (inter-UE puncturing). </w:t>
      </w:r>
    </w:p>
    <w:p w14:paraId="6C801FE3" w14:textId="710FC11D" w:rsidR="0035746C" w:rsidRDefault="0035746C" w:rsidP="0035746C">
      <w:r>
        <w:t xml:space="preserve">In this contribution, we discuss only the first case i.e. intra-UE puncturing. </w:t>
      </w:r>
    </w:p>
    <w:p w14:paraId="0A544A12" w14:textId="79BF2087" w:rsidR="0035746C" w:rsidRDefault="0035746C" w:rsidP="0035746C">
      <w:r>
        <w:t xml:space="preserve">As the baseline, a UE with mini-slot data should send SR, preferably on mini-slot level, for the gNB to act on as it sees fit. In addition, semi-persistent scheduling (SPS) is also supported in </w:t>
      </w:r>
      <w:r w:rsidRPr="00D13BC5">
        <w:t>NR.</w:t>
      </w:r>
      <w:r>
        <w:t xml:space="preserve"> Furthermore, we assume that high priority traffic will be mainly scheduled with mini-slots, if it requires low latency. It is however worth to note that there is not necessarily a one-to-one mapping between high priority services and low latency requirement, and therefore a high priority service can use a normal slot transmission and low priority traffic may also use mini-slot structure as well. </w:t>
      </w:r>
    </w:p>
    <w:p w14:paraId="5EAA38BA" w14:textId="77777777" w:rsidR="0035746C" w:rsidRDefault="0035746C" w:rsidP="0035746C">
      <w:pPr>
        <w:pStyle w:val="Heading1"/>
      </w:pPr>
      <w:bookmarkStart w:id="1" w:name="_Ref178064866"/>
      <w:r w:rsidRPr="00CE0424">
        <w:t>Discussion</w:t>
      </w:r>
      <w:bookmarkStart w:id="2" w:name="_Toc455649131"/>
      <w:bookmarkStart w:id="3" w:name="_Toc455649156"/>
      <w:bookmarkStart w:id="4" w:name="_Toc455649182"/>
      <w:bookmarkStart w:id="5" w:name="_Toc455649228"/>
      <w:bookmarkStart w:id="6" w:name="_Toc455649250"/>
      <w:bookmarkStart w:id="7" w:name="_Toc455649272"/>
      <w:bookmarkStart w:id="8" w:name="_Toc455649132"/>
      <w:bookmarkStart w:id="9" w:name="_Toc455649157"/>
      <w:bookmarkStart w:id="10" w:name="_Toc455649183"/>
      <w:bookmarkStart w:id="11" w:name="_Toc455649229"/>
      <w:bookmarkStart w:id="12" w:name="_Toc455649251"/>
      <w:bookmarkStart w:id="13" w:name="_Toc455649273"/>
      <w:bookmarkStart w:id="14" w:name="_Toc455649133"/>
      <w:bookmarkStart w:id="15" w:name="_Toc455649158"/>
      <w:bookmarkStart w:id="16" w:name="_Toc455649184"/>
      <w:bookmarkStart w:id="17" w:name="_Toc455649230"/>
      <w:bookmarkStart w:id="18" w:name="_Toc455649252"/>
      <w:bookmarkStart w:id="19" w:name="_Toc455649274"/>
      <w:bookmarkStart w:id="20" w:name="_Toc455649134"/>
      <w:bookmarkStart w:id="21" w:name="_Toc455649159"/>
      <w:bookmarkStart w:id="22" w:name="_Toc455649185"/>
      <w:bookmarkStart w:id="23" w:name="_Toc455649231"/>
      <w:bookmarkStart w:id="24" w:name="_Toc455649253"/>
      <w:bookmarkStart w:id="25" w:name="_Toc455649275"/>
      <w:bookmarkStart w:id="26" w:name="_Toc455649135"/>
      <w:bookmarkStart w:id="27" w:name="_Toc455649160"/>
      <w:bookmarkStart w:id="28" w:name="_Toc455649186"/>
      <w:bookmarkStart w:id="29" w:name="_Toc455649232"/>
      <w:bookmarkStart w:id="30" w:name="_Toc455649254"/>
      <w:bookmarkStart w:id="31" w:name="_Toc455649276"/>
      <w:bookmarkStart w:id="32" w:name="_Toc455649136"/>
      <w:bookmarkStart w:id="33" w:name="_Toc455649161"/>
      <w:bookmarkStart w:id="34" w:name="_Toc455649187"/>
      <w:bookmarkStart w:id="35" w:name="_Toc455649233"/>
      <w:bookmarkStart w:id="36" w:name="_Toc455649255"/>
      <w:bookmarkStart w:id="37" w:name="_Toc455649277"/>
      <w:bookmarkStart w:id="38" w:name="_Toc455649137"/>
      <w:bookmarkStart w:id="39" w:name="_Toc455649162"/>
      <w:bookmarkStart w:id="40" w:name="_Toc455649188"/>
      <w:bookmarkStart w:id="41" w:name="_Toc455649234"/>
      <w:bookmarkStart w:id="42" w:name="_Toc455649256"/>
      <w:bookmarkStart w:id="43" w:name="_Toc455649278"/>
      <w:bookmarkStart w:id="44" w:name="_Toc455649138"/>
      <w:bookmarkStart w:id="45" w:name="_Toc455649163"/>
      <w:bookmarkStart w:id="46" w:name="_Toc455649189"/>
      <w:bookmarkStart w:id="47" w:name="_Toc455649235"/>
      <w:bookmarkStart w:id="48" w:name="_Toc455649257"/>
      <w:bookmarkStart w:id="49" w:name="_Toc455649279"/>
      <w:bookmarkStart w:id="50" w:name="_Toc455649139"/>
      <w:bookmarkStart w:id="51" w:name="_Toc455649164"/>
      <w:bookmarkStart w:id="52" w:name="_Toc455649190"/>
      <w:bookmarkStart w:id="53" w:name="_Toc455649236"/>
      <w:bookmarkStart w:id="54" w:name="_Toc455649258"/>
      <w:bookmarkStart w:id="55" w:name="_Toc455649280"/>
      <w:bookmarkStart w:id="56" w:name="_Toc455649140"/>
      <w:bookmarkStart w:id="57" w:name="_Toc455649165"/>
      <w:bookmarkStart w:id="58" w:name="_Toc455649191"/>
      <w:bookmarkStart w:id="59" w:name="_Toc455649237"/>
      <w:bookmarkStart w:id="60" w:name="_Toc455649259"/>
      <w:bookmarkStart w:id="61" w:name="_Toc455649281"/>
      <w:bookmarkStart w:id="62" w:name="_Toc455649141"/>
      <w:bookmarkStart w:id="63" w:name="_Toc455649166"/>
      <w:bookmarkStart w:id="64" w:name="_Toc455649192"/>
      <w:bookmarkStart w:id="65" w:name="_Toc455649238"/>
      <w:bookmarkStart w:id="66" w:name="_Toc455649260"/>
      <w:bookmarkStart w:id="67" w:name="_Toc455649282"/>
      <w:bookmarkStart w:id="68" w:name="_Toc46212046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434F2D82" w14:textId="39DB3A73" w:rsidR="0035746C" w:rsidRDefault="0035746C" w:rsidP="0035746C">
      <w:r>
        <w:t xml:space="preserve">In the </w:t>
      </w:r>
      <w:r w:rsidR="006521E1">
        <w:t>intra-UE UL pre-emption</w:t>
      </w:r>
      <w:r>
        <w:t xml:space="preserve"> scenario discussed in this contribution, the same UE has UL traffic with different latency requirements to transmit. This may be a less common scenario, since a UE will likely focus on one traffic type during a certain time, either delay tolerant data or delay intolerant data. </w:t>
      </w:r>
    </w:p>
    <w:p w14:paraId="4F91AA52" w14:textId="77777777" w:rsidR="0035746C" w:rsidRDefault="0035746C" w:rsidP="0035746C">
      <w:r>
        <w:t xml:space="preserve">Furthermore, when a UE has different traffic types operating on different time-scales (i.e. slot and mini-slot), the solution can differ depending on the scheduling. </w:t>
      </w:r>
    </w:p>
    <w:p w14:paraId="223FDA51" w14:textId="77777777" w:rsidR="0035746C" w:rsidRDefault="0035746C" w:rsidP="0035746C">
      <w:pPr>
        <w:rPr>
          <w:u w:val="single"/>
        </w:rPr>
      </w:pPr>
    </w:p>
    <w:p w14:paraId="06A716B1" w14:textId="533A9AC8" w:rsidR="0035746C" w:rsidRDefault="003438FA" w:rsidP="0035746C">
      <w:r>
        <w:rPr>
          <w:u w:val="single"/>
        </w:rPr>
        <w:lastRenderedPageBreak/>
        <w:t xml:space="preserve">For </w:t>
      </w:r>
      <w:r w:rsidR="009A6BF0">
        <w:rPr>
          <w:u w:val="single"/>
        </w:rPr>
        <w:t>t</w:t>
      </w:r>
      <w:r>
        <w:rPr>
          <w:u w:val="single"/>
        </w:rPr>
        <w:t>ransmission</w:t>
      </w:r>
      <w:r w:rsidR="009A6BF0">
        <w:rPr>
          <w:u w:val="single"/>
        </w:rPr>
        <w:t xml:space="preserve"> with dynamic</w:t>
      </w:r>
      <w:r w:rsidR="009A6BF0">
        <w:t xml:space="preserve"> grant:</w:t>
      </w:r>
    </w:p>
    <w:p w14:paraId="531E3FCB" w14:textId="1C07D819" w:rsidR="0035746C" w:rsidRDefault="0035746C" w:rsidP="0035746C">
      <w:r>
        <w:t>In this case, the UE has received a grant</w:t>
      </w:r>
      <w:r w:rsidR="00E4419E">
        <w:t xml:space="preserve"> for a slot-length transmission</w:t>
      </w:r>
      <w:r>
        <w:t xml:space="preserve"> and it later receives a grant</w:t>
      </w:r>
      <w:r w:rsidR="00E4419E">
        <w:t xml:space="preserve"> for a mini-slot transmission</w:t>
      </w:r>
      <w:r>
        <w:t xml:space="preserve"> </w:t>
      </w:r>
      <w:r w:rsidR="005E4018">
        <w:t xml:space="preserve">of high priority </w:t>
      </w:r>
      <w:r>
        <w:t xml:space="preserve">that overlaps in time and are both on the same resource blocks. This second grant is on a mini-slot basis and therefore have a different timing. In this case the latest received grant should be used by the UE, and the earlier planned transmission should thus be cancelled. The opposite case cannot happen, i.e., a UE that has a grant for mini-slot transmission will not receive a grant for slot-based transmission, as the gNB can avoid </w:t>
      </w:r>
      <w:r w:rsidR="00E4419E">
        <w:t>doing</w:t>
      </w:r>
      <w:r>
        <w:t xml:space="preserve"> that.</w:t>
      </w:r>
    </w:p>
    <w:p w14:paraId="4A823120" w14:textId="77777777" w:rsidR="0035746C" w:rsidRDefault="0035746C" w:rsidP="0035746C">
      <w:pPr>
        <w:pStyle w:val="TOC1"/>
      </w:pPr>
      <w:r>
        <w:t>Proposal 1</w:t>
      </w:r>
      <w:r w:rsidRPr="002F3F68">
        <w:tab/>
      </w:r>
      <w:r>
        <w:t>Latest received UL grant has priority, if the granted resources overlap in time</w:t>
      </w:r>
      <w:r>
        <w:rPr>
          <w:rStyle w:val="CommentReference"/>
          <w:b w:val="0"/>
          <w:noProof w:val="0"/>
          <w:lang w:val="en-GB"/>
        </w:rPr>
        <w:t xml:space="preserve"> </w:t>
      </w:r>
    </w:p>
    <w:p w14:paraId="7FA3856B" w14:textId="77777777" w:rsidR="0035746C" w:rsidRDefault="0035746C" w:rsidP="0035746C">
      <w:pPr>
        <w:pStyle w:val="TOC1"/>
        <w:rPr>
          <w:b w:val="0"/>
          <w:u w:val="single"/>
        </w:rPr>
      </w:pPr>
    </w:p>
    <w:p w14:paraId="3F42502F" w14:textId="6B44B5C6" w:rsidR="0035746C" w:rsidRDefault="0035746C" w:rsidP="0035746C">
      <w:pPr>
        <w:pStyle w:val="TOC1"/>
        <w:rPr>
          <w:b w:val="0"/>
          <w:u w:val="single"/>
        </w:rPr>
      </w:pPr>
      <w:r w:rsidRPr="00DA7816">
        <w:rPr>
          <w:b w:val="0"/>
          <w:u w:val="single"/>
        </w:rPr>
        <w:t xml:space="preserve">For </w:t>
      </w:r>
      <w:r w:rsidR="009A6BF0">
        <w:rPr>
          <w:b w:val="0"/>
          <w:u w:val="single"/>
        </w:rPr>
        <w:t>transmission with configured grant</w:t>
      </w:r>
      <w:r w:rsidRPr="00DA7816">
        <w:rPr>
          <w:b w:val="0"/>
          <w:u w:val="single"/>
        </w:rPr>
        <w:t>:</w:t>
      </w:r>
    </w:p>
    <w:p w14:paraId="25C68CE3" w14:textId="19103231" w:rsidR="006521E1" w:rsidRPr="006521E1" w:rsidRDefault="003438FA" w:rsidP="009A6BF0">
      <w:pPr>
        <w:spacing w:before="120"/>
        <w:rPr>
          <w:b/>
        </w:rPr>
      </w:pPr>
      <w:r>
        <w:rPr>
          <w:lang w:val="en-US"/>
        </w:rPr>
        <w:t>For</w:t>
      </w:r>
      <w:r w:rsidR="0035746C" w:rsidRPr="00924943">
        <w:t xml:space="preserve"> low-latency communication, </w:t>
      </w:r>
      <w:r>
        <w:t>grant-free UL transmission</w:t>
      </w:r>
      <w:r w:rsidR="0035746C" w:rsidRPr="00924943">
        <w:t xml:space="preserve"> </w:t>
      </w:r>
      <w:r>
        <w:t>is</w:t>
      </w:r>
      <w:r w:rsidR="0035746C">
        <w:t xml:space="preserve"> </w:t>
      </w:r>
      <w:r w:rsidR="0035746C" w:rsidRPr="00924943">
        <w:t xml:space="preserve">supported in NR. </w:t>
      </w:r>
      <w:r w:rsidR="0035746C">
        <w:t xml:space="preserve">In this case, the UE </w:t>
      </w:r>
      <w:r w:rsidR="005E4018">
        <w:t>may have</w:t>
      </w:r>
      <w:r w:rsidR="0035746C">
        <w:t xml:space="preserve"> received a dynamic grant for a slot-length transmission which overlaps at least partially in time and frequency resources with </w:t>
      </w:r>
      <w:r w:rsidR="005E4018">
        <w:t>a grant-free mini-slot transmission of high priority</w:t>
      </w:r>
      <w:r w:rsidR="0035746C">
        <w:t xml:space="preserve">. If the mini-slot transmission is to be prioritized over </w:t>
      </w:r>
      <w:r w:rsidR="005E4018">
        <w:t xml:space="preserve">the </w:t>
      </w:r>
      <w:r w:rsidR="0035746C">
        <w:t>slot</w:t>
      </w:r>
      <w:r w:rsidR="005E4018">
        <w:t>-length</w:t>
      </w:r>
      <w:r w:rsidR="0035746C">
        <w:t xml:space="preserve"> transmission, the</w:t>
      </w:r>
      <w:r w:rsidR="005E4018">
        <w:t xml:space="preserve"> dynamically granted traffic in </w:t>
      </w:r>
      <w:r w:rsidR="0035746C">
        <w:t>slot should be cancelled in the overlapping resou</w:t>
      </w:r>
      <w:r w:rsidR="00D1010F">
        <w:t>rces. T</w:t>
      </w:r>
      <w:r w:rsidR="0035746C">
        <w:t>he priori</w:t>
      </w:r>
      <w:r w:rsidR="00D1010F">
        <w:t>tization of a particular transmission</w:t>
      </w:r>
      <w:r w:rsidR="0035746C">
        <w:t xml:space="preserve">, either scheduled by grant-based or configured by grant-free, </w:t>
      </w:r>
      <w:r w:rsidR="00D1010F">
        <w:t>is handled by LCP</w:t>
      </w:r>
      <w:r w:rsidR="0080014E">
        <w:t xml:space="preserve">. </w:t>
      </w:r>
    </w:p>
    <w:p w14:paraId="344E9319" w14:textId="0B8DF95D" w:rsidR="0035746C" w:rsidRDefault="00D1010F" w:rsidP="0035746C">
      <w:pPr>
        <w:pStyle w:val="TOC1"/>
        <w:ind w:left="1699" w:hanging="1699"/>
      </w:pPr>
      <w:r>
        <w:rPr>
          <w:lang w:val="en-GB"/>
        </w:rPr>
        <w:t>Observation</w:t>
      </w:r>
      <w:r w:rsidR="0035746C">
        <w:t xml:space="preserve"> </w:t>
      </w:r>
      <w:r w:rsidR="009A6BF0">
        <w:t>1</w:t>
      </w:r>
      <w:r w:rsidR="0035746C">
        <w:tab/>
        <w:t>Prio</w:t>
      </w:r>
      <w:r w:rsidR="005E4018">
        <w:t>ritization between UL grant-free</w:t>
      </w:r>
      <w:r>
        <w:t xml:space="preserve"> resources and granted resources of different priority is handled by LCP</w:t>
      </w:r>
    </w:p>
    <w:p w14:paraId="456DE53F" w14:textId="77777777" w:rsidR="0035746C" w:rsidRDefault="0035746C" w:rsidP="0035746C">
      <w:pPr>
        <w:pStyle w:val="TOC1"/>
        <w:ind w:left="1699" w:hanging="1699"/>
      </w:pPr>
      <w:r>
        <w:t xml:space="preserve">  </w:t>
      </w:r>
    </w:p>
    <w:p w14:paraId="24008073" w14:textId="77777777" w:rsidR="0035746C" w:rsidRDefault="0035746C" w:rsidP="0035746C">
      <w:pPr>
        <w:pStyle w:val="Heading1"/>
      </w:pPr>
      <w:r w:rsidRPr="00CE0424">
        <w:t>Conclusion</w:t>
      </w:r>
    </w:p>
    <w:p w14:paraId="050CBCCA" w14:textId="50AFC887" w:rsidR="00D1010F" w:rsidRDefault="00D1010F" w:rsidP="0035746C">
      <w:r>
        <w:t>We make the following observations:</w:t>
      </w:r>
    </w:p>
    <w:p w14:paraId="7E57BAFA" w14:textId="2BCD348B" w:rsidR="00D1010F" w:rsidRDefault="00D1010F" w:rsidP="00D1010F">
      <w:pPr>
        <w:pStyle w:val="TOC1"/>
        <w:ind w:left="1699" w:hanging="1699"/>
      </w:pPr>
      <w:r>
        <w:t xml:space="preserve">Observation </w:t>
      </w:r>
      <w:r w:rsidR="009A6BF0">
        <w:t>1</w:t>
      </w:r>
      <w:r>
        <w:tab/>
        <w:t>Prioritization between UL grant-free resources and granted resources of different priority is handled by LCP</w:t>
      </w:r>
    </w:p>
    <w:p w14:paraId="0A489DB1" w14:textId="6A313F56" w:rsidR="00D1010F" w:rsidRPr="00D1010F" w:rsidRDefault="00D1010F" w:rsidP="00D1010F">
      <w:pPr>
        <w:pStyle w:val="TOC1"/>
        <w:ind w:left="1699" w:hanging="1699"/>
      </w:pPr>
    </w:p>
    <w:p w14:paraId="424C7818" w14:textId="6B572C3A" w:rsidR="0035746C" w:rsidRDefault="0035746C" w:rsidP="0035746C">
      <w:r>
        <w:t>Based on the discussion above for intra-UE UL p</w:t>
      </w:r>
      <w:r w:rsidR="00D1010F">
        <w:t>re-emption</w:t>
      </w:r>
      <w:r>
        <w:t>, we propose the following:</w:t>
      </w:r>
    </w:p>
    <w:p w14:paraId="0AA81307" w14:textId="77777777" w:rsidR="0035746C" w:rsidRDefault="0035746C" w:rsidP="0035746C">
      <w:pPr>
        <w:pStyle w:val="TOC1"/>
      </w:pPr>
      <w:r>
        <w:t>Proposal 1</w:t>
      </w:r>
      <w:r w:rsidRPr="002F3F68">
        <w:tab/>
      </w:r>
      <w:r>
        <w:t>Latest received UL grant has priority, if the granted resources overlap in time</w:t>
      </w:r>
    </w:p>
    <w:p w14:paraId="57B73A36" w14:textId="77777777" w:rsidR="00F507D1" w:rsidRPr="00D13BC5" w:rsidRDefault="00F507D1" w:rsidP="00CE0424">
      <w:pPr>
        <w:pStyle w:val="Heading1"/>
        <w:rPr>
          <w:lang w:val="en-US"/>
        </w:rPr>
      </w:pPr>
      <w:bookmarkStart w:id="69" w:name="_In-sequence_SDU_delivery"/>
      <w:bookmarkEnd w:id="69"/>
      <w:r w:rsidRPr="00D13BC5">
        <w:rPr>
          <w:lang w:val="en-US"/>
        </w:rPr>
        <w:t>References</w:t>
      </w:r>
    </w:p>
    <w:p w14:paraId="3618435D" w14:textId="1C8ED89D" w:rsidR="00221CBF" w:rsidRPr="00D13BC5" w:rsidRDefault="00221CBF" w:rsidP="00221CBF">
      <w:pPr>
        <w:pStyle w:val="Reference"/>
        <w:rPr>
          <w:lang w:val="en-US"/>
        </w:rPr>
      </w:pPr>
      <w:bookmarkStart w:id="70" w:name="_Ref473934775"/>
      <w:bookmarkStart w:id="71" w:name="_Ref481744756"/>
      <w:bookmarkStart w:id="72" w:name="_Ref174151459"/>
      <w:bookmarkStart w:id="73" w:name="_Ref189809556"/>
      <w:r w:rsidRPr="00D13BC5">
        <w:rPr>
          <w:lang w:val="en-US"/>
        </w:rPr>
        <w:t>Chairman’s Notes, 3GPP TSG RAN WG1 Meeting#8</w:t>
      </w:r>
      <w:bookmarkEnd w:id="70"/>
      <w:bookmarkEnd w:id="71"/>
      <w:r w:rsidR="00ED2A30" w:rsidRPr="00D13BC5">
        <w:rPr>
          <w:lang w:val="en-US"/>
        </w:rPr>
        <w:t>9</w:t>
      </w:r>
      <w:r w:rsidRPr="00D13BC5">
        <w:rPr>
          <w:lang w:val="en-US"/>
        </w:rPr>
        <w:t xml:space="preserve"> </w:t>
      </w:r>
      <w:bookmarkEnd w:id="72"/>
      <w:bookmarkEnd w:id="73"/>
    </w:p>
    <w:sectPr w:rsidR="00221CBF" w:rsidRPr="00D13BC5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832F9A" w14:textId="77777777" w:rsidR="008651E2" w:rsidRDefault="008651E2">
      <w:r>
        <w:separator/>
      </w:r>
    </w:p>
  </w:endnote>
  <w:endnote w:type="continuationSeparator" w:id="0">
    <w:p w14:paraId="25433547" w14:textId="77777777" w:rsidR="008651E2" w:rsidRDefault="00865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7A00D94B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74D9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74D9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1D4F57" w14:textId="77777777" w:rsidR="008651E2" w:rsidRDefault="008651E2">
      <w:r>
        <w:separator/>
      </w:r>
    </w:p>
  </w:footnote>
  <w:footnote w:type="continuationSeparator" w:id="0">
    <w:p w14:paraId="2837AB7F" w14:textId="77777777" w:rsidR="008651E2" w:rsidRDefault="00865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470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910A5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D7662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C40D6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35E5E12"/>
    <w:multiLevelType w:val="hybridMultilevel"/>
    <w:tmpl w:val="3D1A7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9860CD"/>
    <w:multiLevelType w:val="hybridMultilevel"/>
    <w:tmpl w:val="3F06440E"/>
    <w:lvl w:ilvl="0" w:tplc="316E8FE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EE36D0"/>
    <w:multiLevelType w:val="hybridMultilevel"/>
    <w:tmpl w:val="0A3E5DB2"/>
    <w:lvl w:ilvl="0" w:tplc="D60876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22A86A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2839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645E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32C9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00C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FE6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601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E80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96923C7"/>
    <w:multiLevelType w:val="hybridMultilevel"/>
    <w:tmpl w:val="7EA64EDE"/>
    <w:lvl w:ilvl="0" w:tplc="F44A51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0EC038">
      <w:start w:val="24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381C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61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98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C6C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AC5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DEF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E624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BA8609A"/>
    <w:multiLevelType w:val="hybridMultilevel"/>
    <w:tmpl w:val="693A6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D947C2"/>
    <w:multiLevelType w:val="hybridMultilevel"/>
    <w:tmpl w:val="76F4DF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2EB71A7"/>
    <w:multiLevelType w:val="hybridMultilevel"/>
    <w:tmpl w:val="B3369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1041E"/>
    <w:multiLevelType w:val="hybridMultilevel"/>
    <w:tmpl w:val="2F760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AA3393"/>
    <w:multiLevelType w:val="hybridMultilevel"/>
    <w:tmpl w:val="A89034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AE211E"/>
    <w:multiLevelType w:val="hybridMultilevel"/>
    <w:tmpl w:val="46AE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A7176D"/>
    <w:multiLevelType w:val="hybridMultilevel"/>
    <w:tmpl w:val="D182DD1E"/>
    <w:lvl w:ilvl="0" w:tplc="6C06A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B6E3E2">
      <w:start w:val="12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26100C">
      <w:start w:val="12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C860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9250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EA27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E82A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3A9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5AD8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3B1668A"/>
    <w:multiLevelType w:val="hybridMultilevel"/>
    <w:tmpl w:val="EDB60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88413A"/>
    <w:multiLevelType w:val="hybridMultilevel"/>
    <w:tmpl w:val="E78467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474"/>
        </w:tabs>
        <w:ind w:left="247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610"/>
        </w:tabs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30"/>
        </w:tabs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50"/>
        </w:tabs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70"/>
        </w:tabs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90"/>
        </w:tabs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10"/>
        </w:tabs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30"/>
        </w:tabs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50"/>
        </w:tabs>
        <w:ind w:left="765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CAD73C0"/>
    <w:multiLevelType w:val="hybridMultilevel"/>
    <w:tmpl w:val="A8042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EF681D"/>
    <w:multiLevelType w:val="hybridMultilevel"/>
    <w:tmpl w:val="63BC7D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CD3B1B"/>
    <w:multiLevelType w:val="hybridMultilevel"/>
    <w:tmpl w:val="443893C2"/>
    <w:lvl w:ilvl="0" w:tplc="AB4ABB7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8B0CA5"/>
    <w:multiLevelType w:val="hybridMultilevel"/>
    <w:tmpl w:val="77AC7454"/>
    <w:lvl w:ilvl="0" w:tplc="2ACC3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B40FB2">
      <w:start w:val="85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F648E0">
      <w:start w:val="8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B4E280">
      <w:start w:val="85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9E9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CED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845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46C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504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0F63946"/>
    <w:multiLevelType w:val="hybridMultilevel"/>
    <w:tmpl w:val="6F104076"/>
    <w:lvl w:ilvl="0" w:tplc="478C237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1E4F47"/>
    <w:multiLevelType w:val="hybridMultilevel"/>
    <w:tmpl w:val="81B8CD1E"/>
    <w:lvl w:ilvl="0" w:tplc="0BDEB98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364A59"/>
    <w:multiLevelType w:val="hybridMultilevel"/>
    <w:tmpl w:val="DFBE1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7516CA"/>
    <w:multiLevelType w:val="hybridMultilevel"/>
    <w:tmpl w:val="FF2A9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D3124C"/>
    <w:multiLevelType w:val="hybridMultilevel"/>
    <w:tmpl w:val="44ACF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3E1C44"/>
    <w:multiLevelType w:val="hybridMultilevel"/>
    <w:tmpl w:val="08645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0826CB"/>
    <w:multiLevelType w:val="hybridMultilevel"/>
    <w:tmpl w:val="C70A4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A561D5"/>
    <w:multiLevelType w:val="hybridMultilevel"/>
    <w:tmpl w:val="5C4C6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B30FF8"/>
    <w:multiLevelType w:val="hybridMultilevel"/>
    <w:tmpl w:val="997A86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C96241"/>
    <w:multiLevelType w:val="hybridMultilevel"/>
    <w:tmpl w:val="4C3AD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9007A3"/>
    <w:multiLevelType w:val="hybridMultilevel"/>
    <w:tmpl w:val="4F340CDC"/>
    <w:lvl w:ilvl="0" w:tplc="905214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7705BD6">
      <w:start w:val="242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8B837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0D259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BA28E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96AFD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EDA1D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A6DFF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CC142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B932A4B"/>
    <w:multiLevelType w:val="hybridMultilevel"/>
    <w:tmpl w:val="4F5C16C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864A29"/>
    <w:multiLevelType w:val="hybridMultilevel"/>
    <w:tmpl w:val="72628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8B16B8"/>
    <w:multiLevelType w:val="hybridMultilevel"/>
    <w:tmpl w:val="FF8673F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ED18BC"/>
    <w:multiLevelType w:val="multilevel"/>
    <w:tmpl w:val="32FEA0A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47" w15:restartNumberingAfterBreak="0">
    <w:nsid w:val="7C92468E"/>
    <w:multiLevelType w:val="hybridMultilevel"/>
    <w:tmpl w:val="EF10F304"/>
    <w:lvl w:ilvl="0" w:tplc="95929A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F8ACF8">
      <w:start w:val="85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70178C">
      <w:start w:val="8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62FC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9C21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8CF5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24D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FAA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E5D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29"/>
  </w:num>
  <w:num w:numId="3">
    <w:abstractNumId w:val="21"/>
  </w:num>
  <w:num w:numId="4">
    <w:abstractNumId w:val="22"/>
  </w:num>
  <w:num w:numId="5">
    <w:abstractNumId w:val="18"/>
  </w:num>
  <w:num w:numId="6">
    <w:abstractNumId w:val="26"/>
  </w:num>
  <w:num w:numId="7">
    <w:abstractNumId w:val="32"/>
  </w:num>
  <w:num w:numId="8">
    <w:abstractNumId w:val="19"/>
  </w:num>
  <w:num w:numId="9">
    <w:abstractNumId w:val="17"/>
  </w:num>
  <w:num w:numId="10">
    <w:abstractNumId w:val="3"/>
  </w:num>
  <w:num w:numId="11">
    <w:abstractNumId w:val="2"/>
  </w:num>
  <w:num w:numId="12">
    <w:abstractNumId w:val="1"/>
  </w:num>
  <w:num w:numId="13">
    <w:abstractNumId w:val="31"/>
  </w:num>
  <w:num w:numId="14">
    <w:abstractNumId w:val="0"/>
  </w:num>
  <w:num w:numId="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38"/>
  </w:num>
  <w:num w:numId="18">
    <w:abstractNumId w:val="14"/>
  </w:num>
  <w:num w:numId="19">
    <w:abstractNumId w:val="9"/>
  </w:num>
  <w:num w:numId="20">
    <w:abstractNumId w:val="16"/>
  </w:num>
  <w:num w:numId="21">
    <w:abstractNumId w:val="44"/>
  </w:num>
  <w:num w:numId="22">
    <w:abstractNumId w:val="11"/>
  </w:num>
  <w:num w:numId="23">
    <w:abstractNumId w:val="5"/>
  </w:num>
  <w:num w:numId="24">
    <w:abstractNumId w:val="23"/>
  </w:num>
  <w:num w:numId="25">
    <w:abstractNumId w:val="34"/>
  </w:num>
  <w:num w:numId="26">
    <w:abstractNumId w:val="37"/>
  </w:num>
  <w:num w:numId="27">
    <w:abstractNumId w:val="25"/>
  </w:num>
  <w:num w:numId="28">
    <w:abstractNumId w:val="15"/>
  </w:num>
  <w:num w:numId="29">
    <w:abstractNumId w:val="39"/>
  </w:num>
  <w:num w:numId="30">
    <w:abstractNumId w:val="4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1"/>
  </w:num>
  <w:num w:numId="32">
    <w:abstractNumId w:val="35"/>
  </w:num>
  <w:num w:numId="33">
    <w:abstractNumId w:val="47"/>
  </w:num>
  <w:num w:numId="34">
    <w:abstractNumId w:val="28"/>
  </w:num>
  <w:num w:numId="35">
    <w:abstractNumId w:val="10"/>
  </w:num>
  <w:num w:numId="36">
    <w:abstractNumId w:val="8"/>
  </w:num>
  <w:num w:numId="37">
    <w:abstractNumId w:val="46"/>
  </w:num>
  <w:num w:numId="38">
    <w:abstractNumId w:val="27"/>
  </w:num>
  <w:num w:numId="39">
    <w:abstractNumId w:val="6"/>
  </w:num>
  <w:num w:numId="40">
    <w:abstractNumId w:val="33"/>
  </w:num>
  <w:num w:numId="41">
    <w:abstractNumId w:val="30"/>
  </w:num>
  <w:num w:numId="42">
    <w:abstractNumId w:val="36"/>
  </w:num>
  <w:num w:numId="43">
    <w:abstractNumId w:val="45"/>
  </w:num>
  <w:num w:numId="44">
    <w:abstractNumId w:val="12"/>
  </w:num>
  <w:num w:numId="45">
    <w:abstractNumId w:val="24"/>
  </w:num>
  <w:num w:numId="46">
    <w:abstractNumId w:val="13"/>
  </w:num>
  <w:num w:numId="47">
    <w:abstractNumId w:val="40"/>
  </w:num>
  <w:num w:numId="48">
    <w:abstractNumId w:val="43"/>
  </w:num>
  <w:num w:numId="49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075F"/>
    <w:rsid w:val="00002A37"/>
    <w:rsid w:val="00006446"/>
    <w:rsid w:val="00006896"/>
    <w:rsid w:val="00007CDC"/>
    <w:rsid w:val="00011B28"/>
    <w:rsid w:val="00015D15"/>
    <w:rsid w:val="0002531D"/>
    <w:rsid w:val="0002564D"/>
    <w:rsid w:val="00025ECA"/>
    <w:rsid w:val="000325B8"/>
    <w:rsid w:val="00034C15"/>
    <w:rsid w:val="00036BA1"/>
    <w:rsid w:val="000422E2"/>
    <w:rsid w:val="00042C07"/>
    <w:rsid w:val="00042F22"/>
    <w:rsid w:val="000444EF"/>
    <w:rsid w:val="00047CB6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031B"/>
    <w:rsid w:val="00091557"/>
    <w:rsid w:val="000924C1"/>
    <w:rsid w:val="000924F0"/>
    <w:rsid w:val="00093474"/>
    <w:rsid w:val="0009510F"/>
    <w:rsid w:val="000A1B7B"/>
    <w:rsid w:val="000A262F"/>
    <w:rsid w:val="000A56F2"/>
    <w:rsid w:val="000B2719"/>
    <w:rsid w:val="000B3A8F"/>
    <w:rsid w:val="000B4AB9"/>
    <w:rsid w:val="000B58C3"/>
    <w:rsid w:val="000B61E9"/>
    <w:rsid w:val="000C165A"/>
    <w:rsid w:val="000C27FD"/>
    <w:rsid w:val="000C2E19"/>
    <w:rsid w:val="000D0D07"/>
    <w:rsid w:val="000D4797"/>
    <w:rsid w:val="000E0527"/>
    <w:rsid w:val="000E1E92"/>
    <w:rsid w:val="000E474B"/>
    <w:rsid w:val="000F06D6"/>
    <w:rsid w:val="000F0EB1"/>
    <w:rsid w:val="000F0F1F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4BD"/>
    <w:rsid w:val="00115643"/>
    <w:rsid w:val="00115C22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596"/>
    <w:rsid w:val="00151E23"/>
    <w:rsid w:val="001521A7"/>
    <w:rsid w:val="001526E0"/>
    <w:rsid w:val="001551B5"/>
    <w:rsid w:val="00163A2A"/>
    <w:rsid w:val="001659C1"/>
    <w:rsid w:val="00173A8E"/>
    <w:rsid w:val="00174C43"/>
    <w:rsid w:val="00177795"/>
    <w:rsid w:val="0018143F"/>
    <w:rsid w:val="00186D76"/>
    <w:rsid w:val="00190AC1"/>
    <w:rsid w:val="0019341A"/>
    <w:rsid w:val="00196856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019B"/>
    <w:rsid w:val="001D255C"/>
    <w:rsid w:val="001D51BA"/>
    <w:rsid w:val="001D6342"/>
    <w:rsid w:val="001D6D53"/>
    <w:rsid w:val="001E58E2"/>
    <w:rsid w:val="001E7AED"/>
    <w:rsid w:val="001F3916"/>
    <w:rsid w:val="001F54C5"/>
    <w:rsid w:val="001F62D5"/>
    <w:rsid w:val="001F662C"/>
    <w:rsid w:val="001F7074"/>
    <w:rsid w:val="00200490"/>
    <w:rsid w:val="00201F3A"/>
    <w:rsid w:val="00203F96"/>
    <w:rsid w:val="002069B2"/>
    <w:rsid w:val="00207FA3"/>
    <w:rsid w:val="00211B13"/>
    <w:rsid w:val="0021311C"/>
    <w:rsid w:val="00214DA8"/>
    <w:rsid w:val="00215423"/>
    <w:rsid w:val="002158FA"/>
    <w:rsid w:val="00217670"/>
    <w:rsid w:val="00220600"/>
    <w:rsid w:val="002207DA"/>
    <w:rsid w:val="00221CBF"/>
    <w:rsid w:val="002224DB"/>
    <w:rsid w:val="00223FCB"/>
    <w:rsid w:val="002252C3"/>
    <w:rsid w:val="00225C54"/>
    <w:rsid w:val="00226F72"/>
    <w:rsid w:val="00230765"/>
    <w:rsid w:val="002319E4"/>
    <w:rsid w:val="00233E41"/>
    <w:rsid w:val="00235632"/>
    <w:rsid w:val="00235872"/>
    <w:rsid w:val="00235878"/>
    <w:rsid w:val="00241559"/>
    <w:rsid w:val="002435B3"/>
    <w:rsid w:val="002458EB"/>
    <w:rsid w:val="002500C8"/>
    <w:rsid w:val="00251F5E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1C2"/>
    <w:rsid w:val="0028280A"/>
    <w:rsid w:val="00286ACD"/>
    <w:rsid w:val="00287838"/>
    <w:rsid w:val="002907B5"/>
    <w:rsid w:val="00292EB7"/>
    <w:rsid w:val="00296227"/>
    <w:rsid w:val="00296F44"/>
    <w:rsid w:val="002972F4"/>
    <w:rsid w:val="0029777D"/>
    <w:rsid w:val="002A055E"/>
    <w:rsid w:val="002A1D4E"/>
    <w:rsid w:val="002A2869"/>
    <w:rsid w:val="002B24D6"/>
    <w:rsid w:val="002B335C"/>
    <w:rsid w:val="002C41E6"/>
    <w:rsid w:val="002C5BA4"/>
    <w:rsid w:val="002D071A"/>
    <w:rsid w:val="002D34B2"/>
    <w:rsid w:val="002D7637"/>
    <w:rsid w:val="002E17F2"/>
    <w:rsid w:val="002E2B4A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8FA"/>
    <w:rsid w:val="00343A07"/>
    <w:rsid w:val="00346DB5"/>
    <w:rsid w:val="003477B1"/>
    <w:rsid w:val="00352421"/>
    <w:rsid w:val="00357380"/>
    <w:rsid w:val="0035746C"/>
    <w:rsid w:val="003602D9"/>
    <w:rsid w:val="003604CE"/>
    <w:rsid w:val="00360828"/>
    <w:rsid w:val="003707D2"/>
    <w:rsid w:val="00370E47"/>
    <w:rsid w:val="003742AC"/>
    <w:rsid w:val="00375421"/>
    <w:rsid w:val="00376C6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118"/>
    <w:rsid w:val="003B7FE5"/>
    <w:rsid w:val="003C11C8"/>
    <w:rsid w:val="003C217D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3C1"/>
    <w:rsid w:val="00413AAC"/>
    <w:rsid w:val="00416184"/>
    <w:rsid w:val="00421105"/>
    <w:rsid w:val="004242F4"/>
    <w:rsid w:val="00427248"/>
    <w:rsid w:val="00431AF0"/>
    <w:rsid w:val="0043372F"/>
    <w:rsid w:val="00437447"/>
    <w:rsid w:val="00441A92"/>
    <w:rsid w:val="00444F56"/>
    <w:rsid w:val="00446488"/>
    <w:rsid w:val="004508A0"/>
    <w:rsid w:val="00451465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1BCA"/>
    <w:rsid w:val="004D36B1"/>
    <w:rsid w:val="004D7EBD"/>
    <w:rsid w:val="004E2680"/>
    <w:rsid w:val="004E28F9"/>
    <w:rsid w:val="004E462E"/>
    <w:rsid w:val="004E4813"/>
    <w:rsid w:val="004E56DC"/>
    <w:rsid w:val="004E76F4"/>
    <w:rsid w:val="004F0445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154B1"/>
    <w:rsid w:val="005219CF"/>
    <w:rsid w:val="00534B59"/>
    <w:rsid w:val="00536759"/>
    <w:rsid w:val="00537C62"/>
    <w:rsid w:val="00546970"/>
    <w:rsid w:val="00547DF0"/>
    <w:rsid w:val="00547F4D"/>
    <w:rsid w:val="00550011"/>
    <w:rsid w:val="00550419"/>
    <w:rsid w:val="00554E19"/>
    <w:rsid w:val="0056121F"/>
    <w:rsid w:val="00571CAF"/>
    <w:rsid w:val="00572505"/>
    <w:rsid w:val="00582809"/>
    <w:rsid w:val="0058335A"/>
    <w:rsid w:val="0058798C"/>
    <w:rsid w:val="005900FA"/>
    <w:rsid w:val="005935A4"/>
    <w:rsid w:val="005948C2"/>
    <w:rsid w:val="00595DCA"/>
    <w:rsid w:val="0059779B"/>
    <w:rsid w:val="005A209A"/>
    <w:rsid w:val="005A6262"/>
    <w:rsid w:val="005A662D"/>
    <w:rsid w:val="005B35D7"/>
    <w:rsid w:val="005B392A"/>
    <w:rsid w:val="005B3AA3"/>
    <w:rsid w:val="005B6F83"/>
    <w:rsid w:val="005C3D26"/>
    <w:rsid w:val="005C5F58"/>
    <w:rsid w:val="005C74FB"/>
    <w:rsid w:val="005D1602"/>
    <w:rsid w:val="005D1DE7"/>
    <w:rsid w:val="005E385F"/>
    <w:rsid w:val="005E3C36"/>
    <w:rsid w:val="005E4018"/>
    <w:rsid w:val="005E5B81"/>
    <w:rsid w:val="005F2CB1"/>
    <w:rsid w:val="005F3025"/>
    <w:rsid w:val="005F618C"/>
    <w:rsid w:val="005F70BD"/>
    <w:rsid w:val="0060283C"/>
    <w:rsid w:val="0060397D"/>
    <w:rsid w:val="00604F14"/>
    <w:rsid w:val="00611B83"/>
    <w:rsid w:val="00613257"/>
    <w:rsid w:val="00620A71"/>
    <w:rsid w:val="00620D80"/>
    <w:rsid w:val="006212A9"/>
    <w:rsid w:val="006234A6"/>
    <w:rsid w:val="00626DD2"/>
    <w:rsid w:val="00630001"/>
    <w:rsid w:val="006311B3"/>
    <w:rsid w:val="0063284C"/>
    <w:rsid w:val="00636398"/>
    <w:rsid w:val="006368D3"/>
    <w:rsid w:val="006377EC"/>
    <w:rsid w:val="00637F88"/>
    <w:rsid w:val="0064151F"/>
    <w:rsid w:val="00641533"/>
    <w:rsid w:val="00641976"/>
    <w:rsid w:val="0064208D"/>
    <w:rsid w:val="00643475"/>
    <w:rsid w:val="00643771"/>
    <w:rsid w:val="0064396A"/>
    <w:rsid w:val="0064624E"/>
    <w:rsid w:val="00650AB9"/>
    <w:rsid w:val="006521E1"/>
    <w:rsid w:val="0065434D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4D9A"/>
    <w:rsid w:val="00675C72"/>
    <w:rsid w:val="006771F9"/>
    <w:rsid w:val="006776D7"/>
    <w:rsid w:val="00681003"/>
    <w:rsid w:val="006816F7"/>
    <w:rsid w:val="006817C9"/>
    <w:rsid w:val="00683ECE"/>
    <w:rsid w:val="0068441C"/>
    <w:rsid w:val="0068756A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B0F"/>
    <w:rsid w:val="006C03B8"/>
    <w:rsid w:val="006C5EC9"/>
    <w:rsid w:val="006C6059"/>
    <w:rsid w:val="006C716E"/>
    <w:rsid w:val="006C7522"/>
    <w:rsid w:val="006D33EE"/>
    <w:rsid w:val="006D5ECD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8EE"/>
    <w:rsid w:val="0070346E"/>
    <w:rsid w:val="00704B82"/>
    <w:rsid w:val="00704EDB"/>
    <w:rsid w:val="00706101"/>
    <w:rsid w:val="007061D7"/>
    <w:rsid w:val="00706563"/>
    <w:rsid w:val="00707072"/>
    <w:rsid w:val="00707D61"/>
    <w:rsid w:val="00712287"/>
    <w:rsid w:val="00712772"/>
    <w:rsid w:val="007148D3"/>
    <w:rsid w:val="00715B9A"/>
    <w:rsid w:val="00722281"/>
    <w:rsid w:val="00725822"/>
    <w:rsid w:val="00726EA6"/>
    <w:rsid w:val="00727208"/>
    <w:rsid w:val="00727680"/>
    <w:rsid w:val="00732461"/>
    <w:rsid w:val="00733D4B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97B44"/>
    <w:rsid w:val="007A1CB3"/>
    <w:rsid w:val="007A306F"/>
    <w:rsid w:val="007A43A6"/>
    <w:rsid w:val="007A58A6"/>
    <w:rsid w:val="007B3D2D"/>
    <w:rsid w:val="007B50AE"/>
    <w:rsid w:val="007B51DF"/>
    <w:rsid w:val="007B78FE"/>
    <w:rsid w:val="007C05DD"/>
    <w:rsid w:val="007C3D18"/>
    <w:rsid w:val="007C60BF"/>
    <w:rsid w:val="007C6A07"/>
    <w:rsid w:val="007C75A1"/>
    <w:rsid w:val="007C77A5"/>
    <w:rsid w:val="007D04E5"/>
    <w:rsid w:val="007D13F7"/>
    <w:rsid w:val="007D4D53"/>
    <w:rsid w:val="007D5901"/>
    <w:rsid w:val="007D7526"/>
    <w:rsid w:val="007E26DB"/>
    <w:rsid w:val="007E4610"/>
    <w:rsid w:val="007E4715"/>
    <w:rsid w:val="007E505B"/>
    <w:rsid w:val="007E7091"/>
    <w:rsid w:val="0080014E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17"/>
    <w:rsid w:val="00827D6F"/>
    <w:rsid w:val="008376AC"/>
    <w:rsid w:val="008444E8"/>
    <w:rsid w:val="00844E80"/>
    <w:rsid w:val="00846505"/>
    <w:rsid w:val="00846FE7"/>
    <w:rsid w:val="008565AD"/>
    <w:rsid w:val="00856911"/>
    <w:rsid w:val="008651E2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6B70"/>
    <w:rsid w:val="00877F18"/>
    <w:rsid w:val="00894A88"/>
    <w:rsid w:val="00895386"/>
    <w:rsid w:val="00897E65"/>
    <w:rsid w:val="008A21FF"/>
    <w:rsid w:val="008A2CE2"/>
    <w:rsid w:val="008A30AC"/>
    <w:rsid w:val="008A44B8"/>
    <w:rsid w:val="008A4CB1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3957"/>
    <w:rsid w:val="008C4562"/>
    <w:rsid w:val="008C4958"/>
    <w:rsid w:val="008C4BAA"/>
    <w:rsid w:val="008C6AE8"/>
    <w:rsid w:val="008C7573"/>
    <w:rsid w:val="008D34F1"/>
    <w:rsid w:val="008D39D8"/>
    <w:rsid w:val="008D411B"/>
    <w:rsid w:val="008D6D1A"/>
    <w:rsid w:val="008E065E"/>
    <w:rsid w:val="008E0927"/>
    <w:rsid w:val="008E1909"/>
    <w:rsid w:val="008F1EAB"/>
    <w:rsid w:val="008F33DC"/>
    <w:rsid w:val="008F477F"/>
    <w:rsid w:val="008F47B9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477F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209D"/>
    <w:rsid w:val="0097603D"/>
    <w:rsid w:val="00976949"/>
    <w:rsid w:val="00980477"/>
    <w:rsid w:val="00985253"/>
    <w:rsid w:val="009853B3"/>
    <w:rsid w:val="00990630"/>
    <w:rsid w:val="00991761"/>
    <w:rsid w:val="00993F82"/>
    <w:rsid w:val="00994DCA"/>
    <w:rsid w:val="009960EC"/>
    <w:rsid w:val="009970DD"/>
    <w:rsid w:val="009A0FBA"/>
    <w:rsid w:val="009A1601"/>
    <w:rsid w:val="009A462D"/>
    <w:rsid w:val="009A5CBA"/>
    <w:rsid w:val="009A6BF0"/>
    <w:rsid w:val="009A7961"/>
    <w:rsid w:val="009B1A4F"/>
    <w:rsid w:val="009B1F30"/>
    <w:rsid w:val="009B3AC2"/>
    <w:rsid w:val="009B4DF4"/>
    <w:rsid w:val="009B564E"/>
    <w:rsid w:val="009B64E5"/>
    <w:rsid w:val="009B7E87"/>
    <w:rsid w:val="009C2804"/>
    <w:rsid w:val="009C403E"/>
    <w:rsid w:val="009D4FF0"/>
    <w:rsid w:val="009D703C"/>
    <w:rsid w:val="009D718F"/>
    <w:rsid w:val="009E068F"/>
    <w:rsid w:val="009E14E0"/>
    <w:rsid w:val="009E24FC"/>
    <w:rsid w:val="009E35DB"/>
    <w:rsid w:val="009E47A3"/>
    <w:rsid w:val="009E60EC"/>
    <w:rsid w:val="009F08F3"/>
    <w:rsid w:val="009F344F"/>
    <w:rsid w:val="009F5F57"/>
    <w:rsid w:val="00A048A8"/>
    <w:rsid w:val="00A04F49"/>
    <w:rsid w:val="00A13E54"/>
    <w:rsid w:val="00A17F63"/>
    <w:rsid w:val="00A20554"/>
    <w:rsid w:val="00A2193B"/>
    <w:rsid w:val="00A2351A"/>
    <w:rsid w:val="00A264A9"/>
    <w:rsid w:val="00A27785"/>
    <w:rsid w:val="00A30187"/>
    <w:rsid w:val="00A3448A"/>
    <w:rsid w:val="00A35A76"/>
    <w:rsid w:val="00A35FFA"/>
    <w:rsid w:val="00A36297"/>
    <w:rsid w:val="00A41E2B"/>
    <w:rsid w:val="00A45B74"/>
    <w:rsid w:val="00A52B67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2E6"/>
    <w:rsid w:val="00A77EC4"/>
    <w:rsid w:val="00A86BE9"/>
    <w:rsid w:val="00A86C38"/>
    <w:rsid w:val="00A92879"/>
    <w:rsid w:val="00A9442A"/>
    <w:rsid w:val="00AA016F"/>
    <w:rsid w:val="00AA1ED6"/>
    <w:rsid w:val="00AA51D6"/>
    <w:rsid w:val="00AB0BC8"/>
    <w:rsid w:val="00AB11CA"/>
    <w:rsid w:val="00AB14D9"/>
    <w:rsid w:val="00AB2203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2834"/>
    <w:rsid w:val="00AE40E0"/>
    <w:rsid w:val="00AE4DBA"/>
    <w:rsid w:val="00AE4F07"/>
    <w:rsid w:val="00AF1C5D"/>
    <w:rsid w:val="00AF42D7"/>
    <w:rsid w:val="00AF4BAC"/>
    <w:rsid w:val="00B006FE"/>
    <w:rsid w:val="00B007CB"/>
    <w:rsid w:val="00B02AA9"/>
    <w:rsid w:val="00B02FA3"/>
    <w:rsid w:val="00B05084"/>
    <w:rsid w:val="00B157F9"/>
    <w:rsid w:val="00B1613F"/>
    <w:rsid w:val="00B20256"/>
    <w:rsid w:val="00B20D09"/>
    <w:rsid w:val="00B2763F"/>
    <w:rsid w:val="00B27AAC"/>
    <w:rsid w:val="00B304F3"/>
    <w:rsid w:val="00B30929"/>
    <w:rsid w:val="00B34CC1"/>
    <w:rsid w:val="00B372AA"/>
    <w:rsid w:val="00B40445"/>
    <w:rsid w:val="00B40BEF"/>
    <w:rsid w:val="00B41888"/>
    <w:rsid w:val="00B45A52"/>
    <w:rsid w:val="00B46175"/>
    <w:rsid w:val="00B52BA1"/>
    <w:rsid w:val="00B6188F"/>
    <w:rsid w:val="00B664C7"/>
    <w:rsid w:val="00B7198C"/>
    <w:rsid w:val="00B739F6"/>
    <w:rsid w:val="00B81A6C"/>
    <w:rsid w:val="00B835AD"/>
    <w:rsid w:val="00B85DE5"/>
    <w:rsid w:val="00B90F73"/>
    <w:rsid w:val="00B93B59"/>
    <w:rsid w:val="00B9406A"/>
    <w:rsid w:val="00B94EFF"/>
    <w:rsid w:val="00B97752"/>
    <w:rsid w:val="00BA2280"/>
    <w:rsid w:val="00BA2A08"/>
    <w:rsid w:val="00BA2CD3"/>
    <w:rsid w:val="00BA56D2"/>
    <w:rsid w:val="00BA76E0"/>
    <w:rsid w:val="00BB2A25"/>
    <w:rsid w:val="00BB51E9"/>
    <w:rsid w:val="00BB7181"/>
    <w:rsid w:val="00BC0FDC"/>
    <w:rsid w:val="00BC3053"/>
    <w:rsid w:val="00BC4D2E"/>
    <w:rsid w:val="00BD2878"/>
    <w:rsid w:val="00BD48AC"/>
    <w:rsid w:val="00BD5F1A"/>
    <w:rsid w:val="00BE1234"/>
    <w:rsid w:val="00BE2FA6"/>
    <w:rsid w:val="00BE333F"/>
    <w:rsid w:val="00BE3E73"/>
    <w:rsid w:val="00BE5AFC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0977"/>
    <w:rsid w:val="00C279B5"/>
    <w:rsid w:val="00C27C45"/>
    <w:rsid w:val="00C302DC"/>
    <w:rsid w:val="00C3719D"/>
    <w:rsid w:val="00C52957"/>
    <w:rsid w:val="00C54995"/>
    <w:rsid w:val="00C54D41"/>
    <w:rsid w:val="00C57818"/>
    <w:rsid w:val="00C60783"/>
    <w:rsid w:val="00C64672"/>
    <w:rsid w:val="00C654D6"/>
    <w:rsid w:val="00C70697"/>
    <w:rsid w:val="00C72EF4"/>
    <w:rsid w:val="00C73E87"/>
    <w:rsid w:val="00C75D2F"/>
    <w:rsid w:val="00C767BE"/>
    <w:rsid w:val="00C76E3C"/>
    <w:rsid w:val="00C81568"/>
    <w:rsid w:val="00C855E0"/>
    <w:rsid w:val="00C9027A"/>
    <w:rsid w:val="00C9068E"/>
    <w:rsid w:val="00C93C4B"/>
    <w:rsid w:val="00C93FF8"/>
    <w:rsid w:val="00C944AB"/>
    <w:rsid w:val="00C95B40"/>
    <w:rsid w:val="00C9749F"/>
    <w:rsid w:val="00C9762F"/>
    <w:rsid w:val="00CA1ED8"/>
    <w:rsid w:val="00CB1F63"/>
    <w:rsid w:val="00CB4E0B"/>
    <w:rsid w:val="00CB7170"/>
    <w:rsid w:val="00CB7D95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36E3"/>
    <w:rsid w:val="00CE7561"/>
    <w:rsid w:val="00CF1354"/>
    <w:rsid w:val="00CF3B1F"/>
    <w:rsid w:val="00CF3BF6"/>
    <w:rsid w:val="00CF625B"/>
    <w:rsid w:val="00CF687E"/>
    <w:rsid w:val="00D0209A"/>
    <w:rsid w:val="00D0349B"/>
    <w:rsid w:val="00D06E78"/>
    <w:rsid w:val="00D1010F"/>
    <w:rsid w:val="00D10249"/>
    <w:rsid w:val="00D10379"/>
    <w:rsid w:val="00D115C3"/>
    <w:rsid w:val="00D11897"/>
    <w:rsid w:val="00D13135"/>
    <w:rsid w:val="00D13BC5"/>
    <w:rsid w:val="00D13E4E"/>
    <w:rsid w:val="00D15511"/>
    <w:rsid w:val="00D21F5F"/>
    <w:rsid w:val="00D239A7"/>
    <w:rsid w:val="00D23F47"/>
    <w:rsid w:val="00D27862"/>
    <w:rsid w:val="00D3019D"/>
    <w:rsid w:val="00D36E71"/>
    <w:rsid w:val="00D37D87"/>
    <w:rsid w:val="00D40B33"/>
    <w:rsid w:val="00D4318F"/>
    <w:rsid w:val="00D438BF"/>
    <w:rsid w:val="00D440F8"/>
    <w:rsid w:val="00D50F97"/>
    <w:rsid w:val="00D532CB"/>
    <w:rsid w:val="00D538F4"/>
    <w:rsid w:val="00D546FF"/>
    <w:rsid w:val="00D55AD5"/>
    <w:rsid w:val="00D576CA"/>
    <w:rsid w:val="00D61AF5"/>
    <w:rsid w:val="00D652B5"/>
    <w:rsid w:val="00D66155"/>
    <w:rsid w:val="00D670FB"/>
    <w:rsid w:val="00D708B0"/>
    <w:rsid w:val="00D77B1D"/>
    <w:rsid w:val="00D77E33"/>
    <w:rsid w:val="00D8021F"/>
    <w:rsid w:val="00D80383"/>
    <w:rsid w:val="00D80D28"/>
    <w:rsid w:val="00D823C6"/>
    <w:rsid w:val="00D86CA3"/>
    <w:rsid w:val="00D871CE"/>
    <w:rsid w:val="00D9196D"/>
    <w:rsid w:val="00D92982"/>
    <w:rsid w:val="00D9772C"/>
    <w:rsid w:val="00DA2C7B"/>
    <w:rsid w:val="00DA305E"/>
    <w:rsid w:val="00DA5417"/>
    <w:rsid w:val="00DA56E8"/>
    <w:rsid w:val="00DB0A9F"/>
    <w:rsid w:val="00DB377D"/>
    <w:rsid w:val="00DC2D36"/>
    <w:rsid w:val="00DC53EF"/>
    <w:rsid w:val="00DE1D90"/>
    <w:rsid w:val="00DE402A"/>
    <w:rsid w:val="00DE5608"/>
    <w:rsid w:val="00DE58D0"/>
    <w:rsid w:val="00DE654F"/>
    <w:rsid w:val="00DF06C1"/>
    <w:rsid w:val="00DF0B6E"/>
    <w:rsid w:val="00DF15E0"/>
    <w:rsid w:val="00DF37A0"/>
    <w:rsid w:val="00DF71A0"/>
    <w:rsid w:val="00DF7ECA"/>
    <w:rsid w:val="00E110E7"/>
    <w:rsid w:val="00E11B20"/>
    <w:rsid w:val="00E14D9A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19E"/>
    <w:rsid w:val="00E446F1"/>
    <w:rsid w:val="00E46886"/>
    <w:rsid w:val="00E46ADA"/>
    <w:rsid w:val="00E47AEF"/>
    <w:rsid w:val="00E53B75"/>
    <w:rsid w:val="00E54E3B"/>
    <w:rsid w:val="00E5660E"/>
    <w:rsid w:val="00E57565"/>
    <w:rsid w:val="00E63838"/>
    <w:rsid w:val="00E64434"/>
    <w:rsid w:val="00E65920"/>
    <w:rsid w:val="00E660D3"/>
    <w:rsid w:val="00E67C51"/>
    <w:rsid w:val="00E72EFC"/>
    <w:rsid w:val="00E758EC"/>
    <w:rsid w:val="00E771B5"/>
    <w:rsid w:val="00E8234C"/>
    <w:rsid w:val="00E83AA9"/>
    <w:rsid w:val="00E85928"/>
    <w:rsid w:val="00E87822"/>
    <w:rsid w:val="00E90395"/>
    <w:rsid w:val="00E90E49"/>
    <w:rsid w:val="00E917F9"/>
    <w:rsid w:val="00E9291C"/>
    <w:rsid w:val="00E931D4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D2A30"/>
    <w:rsid w:val="00EF18FE"/>
    <w:rsid w:val="00EF5787"/>
    <w:rsid w:val="00EF60D0"/>
    <w:rsid w:val="00F01FBF"/>
    <w:rsid w:val="00F0528D"/>
    <w:rsid w:val="00F06C67"/>
    <w:rsid w:val="00F06DFD"/>
    <w:rsid w:val="00F071D1"/>
    <w:rsid w:val="00F07533"/>
    <w:rsid w:val="00F10629"/>
    <w:rsid w:val="00F154BD"/>
    <w:rsid w:val="00F15FA5"/>
    <w:rsid w:val="00F17FAC"/>
    <w:rsid w:val="00F209B7"/>
    <w:rsid w:val="00F2376F"/>
    <w:rsid w:val="00F243D8"/>
    <w:rsid w:val="00F30828"/>
    <w:rsid w:val="00F313D6"/>
    <w:rsid w:val="00F40F0C"/>
    <w:rsid w:val="00F41B4E"/>
    <w:rsid w:val="00F46EF2"/>
    <w:rsid w:val="00F4766C"/>
    <w:rsid w:val="00F507D1"/>
    <w:rsid w:val="00F519CE"/>
    <w:rsid w:val="00F51ADA"/>
    <w:rsid w:val="00F607C5"/>
    <w:rsid w:val="00F60DEA"/>
    <w:rsid w:val="00F62020"/>
    <w:rsid w:val="00F6302A"/>
    <w:rsid w:val="00F6433F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3162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347D"/>
    <w:rsid w:val="00FB4C80"/>
    <w:rsid w:val="00FB6A6A"/>
    <w:rsid w:val="00FB7575"/>
    <w:rsid w:val="00FC5EFD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E7EBD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0CCEE"/>
  <w15:chartTrackingRefBased/>
  <w15:docId w15:val="{C6A8E958-38BC-4D19-A9AB-916DE4208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uiPriority="35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link w:val="ListParagraphChar"/>
    <w:uiPriority w:val="34"/>
    <w:qFormat/>
    <w:rsid w:val="009E60EC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Theme="minorHAnsi" w:hAnsi="Calibri"/>
      <w:sz w:val="22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rsid w:val="00B7198C"/>
    <w:rPr>
      <w:rFonts w:ascii="Calibri" w:eastAsiaTheme="minorHAnsi" w:hAnsi="Calibr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047CB6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7D4D5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Theme="minorEastAsia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7D4D53"/>
    <w:rPr>
      <w:rFonts w:ascii="Arial" w:eastAsiaTheme="minorEastAsia" w:hAnsi="Arial"/>
      <w:spacing w:val="2"/>
    </w:rPr>
  </w:style>
  <w:style w:type="table" w:styleId="TableGrid">
    <w:name w:val="Table Grid"/>
    <w:basedOn w:val="TableNormal"/>
    <w:uiPriority w:val="59"/>
    <w:rsid w:val="000F0F1F"/>
    <w:rPr>
      <w:rFonts w:asciiTheme="minorHAnsi" w:eastAsiaTheme="minorEastAsia" w:hAnsiTheme="minorHAnsi" w:cstheme="minorBid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37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5NUHHDQN7SK2-1476151046-15393</_dlc_DocId>
    <_dlc_DocIdUrl xmlns="f166a696-7b5b-4ccd-9f0c-ffde0cceec81">
      <Url>https://ericsson.sharepoint.com/sites/star/_layouts/15/DocIdRedir.aspx?ID=5NUHHDQN7SK2-1476151046-15393</Url>
      <Description>5NUHHDQN7SK2-1476151046-15393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1B40A-31ED-4BCB-A950-E64F3D7C0B7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7AE1427-EB46-491E-96A2-9766F0CA2F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86A7625-B9A6-455D-9DA1-07CE5FBADEA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9AC6988-A222-4B1F-89F0-5598AB0FDB6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6.xml><?xml version="1.0" encoding="utf-8"?>
<ds:datastoreItem xmlns:ds="http://schemas.openxmlformats.org/officeDocument/2006/customXml" ds:itemID="{A4B77648-D3DD-44A9-8A40-BF7485EBA5A2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60DB510E-1C32-4B53-AEA3-BDC3B2791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753</TotalTime>
  <Pages>2</Pages>
  <Words>821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5491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TDoc; Ericsson; 3GPP</cp:keywords>
  <cp:lastModifiedBy>Ali Behravan</cp:lastModifiedBy>
  <cp:revision>121</cp:revision>
  <cp:lastPrinted>2008-01-31T16:09:00Z</cp:lastPrinted>
  <dcterms:created xsi:type="dcterms:W3CDTF">2017-02-07T17:47:00Z</dcterms:created>
  <dcterms:modified xsi:type="dcterms:W3CDTF">2018-01-12T21:58:00Z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5NUHHDQN7SK2-1-561</vt:lpwstr>
  </property>
  <property fmtid="{D5CDD505-2E9C-101B-9397-08002B2CF9AE}" pid="5" name="_dlc_DocIdItemGuid">
    <vt:lpwstr>f621d83f-77af-43ce-b6e0-f6180d8b52cb</vt:lpwstr>
  </property>
  <property fmtid="{D5CDD505-2E9C-101B-9397-08002B2CF9AE}" pid="6" name="_dlc_DocIdUrl">
    <vt:lpwstr>https://ericoll.internal.ericsson.com/sites/STAR/_layouts/DocIdRedir.aspx?ID=5NUHHDQN7SK2-1-561, 5NUHHDQN7SK2-1-561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